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4CCC">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华文中宋" w:hAnsi="华文中宋" w:eastAsia="华文中宋" w:cs="华文中宋"/>
          <w:b w:val="0"/>
          <w:kern w:val="0"/>
          <w:sz w:val="36"/>
          <w:szCs w:val="28"/>
          <w:lang w:val="en-US" w:eastAsia="zh-CN" w:bidi="ar-SA"/>
        </w:rPr>
      </w:pPr>
      <w:bookmarkStart w:id="7" w:name="_GoBack"/>
      <w:bookmarkEnd w:id="7"/>
      <w:bookmarkStart w:id="0" w:name="_Toc29457"/>
      <w:bookmarkStart w:id="1" w:name="_Toc28974"/>
      <w:bookmarkStart w:id="2" w:name="_Toc798"/>
      <w:bookmarkStart w:id="3" w:name="_Toc18195"/>
      <w:bookmarkStart w:id="4" w:name="_Toc6788"/>
      <w:bookmarkStart w:id="5" w:name="_Toc18398"/>
      <w:bookmarkStart w:id="6" w:name="_Toc13306"/>
    </w:p>
    <w:p w14:paraId="233EB132">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华文中宋" w:hAnsi="华文中宋" w:eastAsia="华文中宋" w:cs="华文中宋"/>
          <w:b w:val="0"/>
          <w:kern w:val="0"/>
          <w:sz w:val="36"/>
          <w:szCs w:val="28"/>
          <w:lang w:val="en-US" w:eastAsia="zh-CN" w:bidi="ar-SA"/>
        </w:rPr>
      </w:pPr>
      <w:r>
        <w:rPr>
          <w:rFonts w:hint="default" w:ascii="华文中宋" w:hAnsi="华文中宋" w:eastAsia="华文中宋" w:cs="华文中宋"/>
          <w:b w:val="0"/>
          <w:kern w:val="0"/>
          <w:sz w:val="36"/>
          <w:szCs w:val="28"/>
          <w:lang w:val="en-US" w:eastAsia="zh-CN" w:bidi="ar-SA"/>
        </w:rPr>
        <w:t>非主要农作物品种登记办法</w:t>
      </w:r>
      <w:bookmarkEnd w:id="0"/>
      <w:bookmarkEnd w:id="1"/>
      <w:bookmarkEnd w:id="2"/>
      <w:bookmarkEnd w:id="3"/>
      <w:bookmarkEnd w:id="4"/>
      <w:bookmarkEnd w:id="5"/>
      <w:bookmarkEnd w:id="6"/>
    </w:p>
    <w:p w14:paraId="1384D10E">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楷体_GB2312" w:cs="Times New Roman"/>
          <w:b w:val="0"/>
          <w:kern w:val="2"/>
          <w:sz w:val="32"/>
          <w:szCs w:val="21"/>
          <w:lang w:val="en-US" w:eastAsia="zh-CN" w:bidi="ar-SA"/>
        </w:rPr>
      </w:pPr>
      <w:r>
        <w:rPr>
          <w:rFonts w:hint="eastAsia" w:ascii="Times New Roman" w:hAnsi="Times New Roman" w:eastAsia="楷体_GB2312" w:cs="Times New Roman"/>
          <w:b w:val="0"/>
          <w:kern w:val="2"/>
          <w:sz w:val="32"/>
          <w:szCs w:val="21"/>
          <w:lang w:val="en-US" w:eastAsia="zh-CN" w:bidi="ar-SA"/>
        </w:rPr>
        <w:t>（2017年3月30日农业部令2017年第1号公布，2025年7月15日农业农村部令2025年第3号修订）</w:t>
      </w:r>
    </w:p>
    <w:p w14:paraId="19D8D47D">
      <w:pPr>
        <w:spacing w:line="360" w:lineRule="auto"/>
        <w:jc w:val="center"/>
        <w:rPr>
          <w:rFonts w:hint="default" w:ascii="Times New Roman" w:hAnsi="Times New Roman" w:eastAsia="仿宋_GB2312" w:cs="Times New Roman"/>
          <w:color w:val="000000"/>
          <w:sz w:val="32"/>
          <w:szCs w:val="32"/>
        </w:rPr>
      </w:pPr>
    </w:p>
    <w:p w14:paraId="5ECEEE0E">
      <w:pPr>
        <w:spacing w:line="360" w:lineRule="auto"/>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default" w:ascii="Times New Roman" w:hAnsi="Times New Roman" w:eastAsia="黑体" w:cs="Times New Roman"/>
          <w:b w:val="0"/>
          <w:bCs w:val="0"/>
          <w:color w:val="000000"/>
          <w:sz w:val="32"/>
          <w:szCs w:val="32"/>
          <w:lang w:val="en-US" w:eastAsia="zh-CN"/>
        </w:rPr>
        <w:t xml:space="preserve"> </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则</w:t>
      </w:r>
    </w:p>
    <w:p w14:paraId="137D2BD2">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p>
    <w:p w14:paraId="791AE70B">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为了规范非主要农作物品种管理，科学、公正、及时地登记非主要农作物品种，根据《中华人民共和国种子法》(以下简称《种子法》)，制定本办法。</w:t>
      </w:r>
    </w:p>
    <w:p w14:paraId="6C055BAE">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在中华人民共和国境内的非主要农作物品种登记，适用本办法。</w:t>
      </w:r>
    </w:p>
    <w:p w14:paraId="6DEA6569">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法律、行政法规和</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规章对非主要农作物品种管理另有规定的，依照其规定。</w:t>
      </w:r>
    </w:p>
    <w:p w14:paraId="4D0F06D3">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第三条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本办法所称非主要农作物，是指稻、小麦、玉米、棉花、大豆五种主要农作物以外的其他农作物。</w:t>
      </w:r>
    </w:p>
    <w:p w14:paraId="0588C229">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第四条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列入非主要农作物登记目录的品种，在推广前应当登记。</w:t>
      </w:r>
    </w:p>
    <w:p w14:paraId="3C6CE1A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应当登记的农作物品种未经登记的，不得发布广告、推广，不得以登记品种的名义销售。</w:t>
      </w:r>
    </w:p>
    <w:p w14:paraId="101A83E3">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第五条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主管全国非主要农作物品种登记工作，制定、调整非主要农作物登记目录和品种登记指南，建立全国非主要农作物品种登记信息平台（以下简称品种登记平台），具体工作由全国农业技术推广服务中心承担。</w:t>
      </w:r>
    </w:p>
    <w:p w14:paraId="58260395">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第六条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负责品种登记的具体实施和监督管理，受理品种登记申请，对申请者提交的申请文件进行书面审查。</w:t>
      </w:r>
    </w:p>
    <w:p w14:paraId="6F52E070">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省级以上人民政府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应当采取有效措施，加强对已登记品种的监督检查，履行好对申请者和品种测试、试验机构的监管责任，保证消费安全和用种安全。</w:t>
      </w:r>
    </w:p>
    <w:p w14:paraId="2C9788B6">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第七条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申请者申请品种登记，应当对申请文件和种子样品的合法性、真实性负责，保证可追溯，接受监督检查。给种子使用者和其他种子生产经营者造成损失的，依法承担赔偿责任。</w:t>
      </w:r>
    </w:p>
    <w:p w14:paraId="02C18EE6">
      <w:pPr>
        <w:spacing w:line="360" w:lineRule="auto"/>
        <w:jc w:val="center"/>
        <w:rPr>
          <w:rFonts w:hint="default" w:ascii="Times New Roman" w:hAnsi="Times New Roman" w:eastAsia="仿宋_GB2312" w:cs="Times New Roman"/>
          <w:color w:val="000000"/>
          <w:sz w:val="32"/>
          <w:szCs w:val="32"/>
        </w:rPr>
      </w:pPr>
    </w:p>
    <w:p w14:paraId="5A632BED">
      <w:pPr>
        <w:spacing w:line="360" w:lineRule="auto"/>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申请、受理与审查</w:t>
      </w:r>
    </w:p>
    <w:p w14:paraId="718FAE1F">
      <w:pPr>
        <w:spacing w:line="360" w:lineRule="auto"/>
        <w:jc w:val="center"/>
        <w:rPr>
          <w:rFonts w:hint="default" w:ascii="Times New Roman" w:hAnsi="Times New Roman" w:eastAsia="黑体" w:cs="Times New Roman"/>
          <w:color w:val="000000"/>
          <w:sz w:val="32"/>
          <w:szCs w:val="32"/>
        </w:rPr>
      </w:pPr>
    </w:p>
    <w:p w14:paraId="2FA50FF2">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第八条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品种登记申请实行属地管理。一个品种只需要在一个省份申请登记。</w:t>
      </w:r>
    </w:p>
    <w:p w14:paraId="691DF39B">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第九条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两个以上申请者分别就同一个品种申请品种登记的，优先受理最先提出的申请；同时申请的，优先受理该品种育种者的申请。</w:t>
      </w:r>
    </w:p>
    <w:p w14:paraId="177E8084">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申请者应当在品种登记平台上实名注册，可以通过品种登记平台提出登记申请，也可以向住所地的省级人民政府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提出书面登记申请。</w:t>
      </w:r>
    </w:p>
    <w:p w14:paraId="11144064">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第十一条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在中国境内没有经常居所或者营业场所的境外机构、个人在境内申请品种登记的，应当委托具有法人资格的境内种子企业代理。</w:t>
      </w:r>
    </w:p>
    <w:p w14:paraId="015CC65A">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第十二条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申请登记的品种应当具备下列条件：</w:t>
      </w:r>
    </w:p>
    <w:p w14:paraId="1CA4B105">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（一）人工选育或发现并经过改良；</w:t>
      </w:r>
    </w:p>
    <w:p w14:paraId="69CAE872">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（二）具备特异性、一致性、稳定性；</w:t>
      </w:r>
    </w:p>
    <w:p w14:paraId="25D00DE2">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（三）具有符合《农业植物品种命名规定》的品种名称。</w:t>
      </w:r>
    </w:p>
    <w:p w14:paraId="468C554F">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申请登记具有植物新品种权的品种，还应当经过品种权人的书面同意。</w:t>
      </w:r>
    </w:p>
    <w:p w14:paraId="16BDEA4E">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对新培育的品种，申请者应当按照品种登记指南的要求提交以下材料：</w:t>
      </w:r>
    </w:p>
    <w:p w14:paraId="198E324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（一）申请表；</w:t>
      </w:r>
    </w:p>
    <w:p w14:paraId="7CE941F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（二）品种特性、育种过程等的说明材料；</w:t>
      </w:r>
    </w:p>
    <w:p w14:paraId="19091C1A">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（三）特异性、一致性、稳定性测试报告</w:t>
      </w:r>
      <w:r>
        <w:rPr>
          <w:rFonts w:hint="eastAsia" w:eastAsia="仿宋_GB2312" w:cs="Times New Roman"/>
          <w:color w:val="000000"/>
          <w:sz w:val="32"/>
          <w:szCs w:val="32"/>
          <w:lang w:eastAsia="zh-CN"/>
        </w:rPr>
        <w:t>，已具备DNA指纹检测行业技术标准的作物还应当提交品种DNA指纹检测报告</w:t>
      </w:r>
      <w:r>
        <w:rPr>
          <w:rFonts w:hint="default" w:ascii="Times New Roman" w:hAnsi="Times New Roman" w:eastAsia="仿宋_GB2312" w:cs="Times New Roman"/>
          <w:color w:val="000000"/>
          <w:sz w:val="32"/>
          <w:szCs w:val="32"/>
        </w:rPr>
        <w:t>；</w:t>
      </w:r>
    </w:p>
    <w:p w14:paraId="5E0215D4">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（四）种子、植株及果实等实物彩色照片；</w:t>
      </w:r>
    </w:p>
    <w:p w14:paraId="2CFE560B">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（五）品种权人的书面同意材料；</w:t>
      </w:r>
    </w:p>
    <w:p w14:paraId="1A67AE7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（六）品种和申请材料合法性、真实性承诺书。</w:t>
      </w:r>
    </w:p>
    <w:p w14:paraId="26A088C4">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第十四条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本办法实施前已审定或者已销售种植的品种，申请者可以按照品种登记指南的要求，提交申请表</w:t>
      </w:r>
      <w:r>
        <w:rPr>
          <w:rFonts w:hint="eastAsia" w:eastAsia="仿宋_GB2312" w:cs="Times New Roman"/>
          <w:color w:val="000000"/>
          <w:sz w:val="32"/>
          <w:szCs w:val="32"/>
          <w:lang w:eastAsia="zh-CN"/>
        </w:rPr>
        <w:t>，已具备DNA指纹检测行业技术标准的作物还应当提交品种DNA指纹检测报告，已销售种植的品种还应当提供本办法实施前的品种销售发票。</w:t>
      </w:r>
    </w:p>
    <w:p w14:paraId="4E705153">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第十五条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对申请者提交的材料，应当根据下列情况分别作出处理：</w:t>
      </w:r>
    </w:p>
    <w:p w14:paraId="5C2C4036">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（一）申请品种不需要品种登记的，即时告知申请者不予受理；</w:t>
      </w:r>
    </w:p>
    <w:p w14:paraId="1EAF8BBA">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（二）申请材料存在错误的，允许申请者当场更正；</w:t>
      </w:r>
    </w:p>
    <w:p w14:paraId="40F70A13">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（三）申请材料不齐全或者不符合法定形式的，应当当场或者在五个工作日内一次告知申请者需要补正的全部内容，逾期不告知的，自收到申请材料之日起即为受理；</w:t>
      </w:r>
    </w:p>
    <w:p w14:paraId="43A28AB3">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（四）申请材料齐全、符合法定形式，或者申请者按照要求提交全部补正材料的，予以受理。</w:t>
      </w:r>
    </w:p>
    <w:p w14:paraId="1397A396">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第十六条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自受理品种登记申请之日起二十个工作日内，对申请者提交的申请材料进行书面审查，符合要求的，将审查意见报</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，并通知申请者提交种子样品。经审查不符合要求的，书面通知申请者并说明理由。</w:t>
      </w:r>
    </w:p>
    <w:p w14:paraId="258546F5">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申请</w:t>
      </w:r>
      <w:r>
        <w:rPr>
          <w:rFonts w:hint="eastAsia" w:eastAsia="仿宋_GB2312" w:cs="Times New Roman"/>
          <w:color w:val="000000"/>
          <w:sz w:val="32"/>
          <w:szCs w:val="32"/>
          <w:lang w:eastAsia="zh-CN"/>
        </w:rPr>
        <w:t>品种登记的，</w:t>
      </w:r>
      <w:r>
        <w:rPr>
          <w:rFonts w:hint="default" w:ascii="Times New Roman" w:hAnsi="Times New Roman" w:eastAsia="仿宋_GB2312" w:cs="Times New Roman"/>
          <w:color w:val="000000"/>
          <w:sz w:val="32"/>
          <w:szCs w:val="32"/>
        </w:rPr>
        <w:t>应当按照品种登记指南要求提交种子样品；未按要求提供的，视为撤回申请。</w:t>
      </w:r>
    </w:p>
    <w:p w14:paraId="57133780">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第十七条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在二十个工作日内不能作出审查决定的，经本部门负责人批准，可以延长十个工作日，并将延长期限理由告知申请者。</w:t>
      </w:r>
    </w:p>
    <w:p w14:paraId="0A030D56">
      <w:pPr>
        <w:spacing w:line="360" w:lineRule="auto"/>
        <w:jc w:val="center"/>
        <w:rPr>
          <w:rFonts w:hint="default" w:ascii="Times New Roman" w:hAnsi="Times New Roman" w:eastAsia="黑体" w:cs="Times New Roman"/>
          <w:color w:val="000000"/>
          <w:sz w:val="32"/>
          <w:szCs w:val="32"/>
        </w:rPr>
      </w:pPr>
    </w:p>
    <w:p w14:paraId="41280759">
      <w:pPr>
        <w:spacing w:line="360" w:lineRule="auto"/>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登记与公告</w:t>
      </w:r>
    </w:p>
    <w:p w14:paraId="3488ADB5">
      <w:pPr>
        <w:spacing w:line="360" w:lineRule="auto"/>
        <w:jc w:val="center"/>
        <w:rPr>
          <w:rFonts w:hint="default" w:ascii="Times New Roman" w:hAnsi="Times New Roman" w:eastAsia="仿宋_GB2312" w:cs="Times New Roman"/>
          <w:color w:val="000000"/>
          <w:sz w:val="32"/>
          <w:szCs w:val="32"/>
        </w:rPr>
      </w:pPr>
    </w:p>
    <w:p w14:paraId="28117D56">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第十八条</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自收到省级人民政府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的审查意见之日起二十个工作日内进行复核。对符合规定并按规定</w:t>
      </w:r>
      <w:r>
        <w:rPr>
          <w:rFonts w:hint="eastAsia" w:eastAsia="仿宋_GB2312" w:cs="Times New Roman"/>
          <w:color w:val="000000"/>
          <w:sz w:val="32"/>
          <w:szCs w:val="32"/>
          <w:lang w:eastAsia="zh-CN"/>
        </w:rPr>
        <w:t>完成种子样品入库的进行公示，公示期十五个工作日，公示无异议或异议不成立的</w:t>
      </w:r>
      <w:r>
        <w:rPr>
          <w:rFonts w:hint="default" w:ascii="Times New Roman" w:hAnsi="Times New Roman" w:eastAsia="仿宋_GB2312" w:cs="Times New Roman"/>
          <w:color w:val="000000"/>
          <w:sz w:val="32"/>
          <w:szCs w:val="32"/>
        </w:rPr>
        <w:t>，予以登记，颁发登记证书；不予登记的，通知申请者并说明理由。</w:t>
      </w:r>
    </w:p>
    <w:p w14:paraId="6CDB3CA9">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第十九条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登记证书内容包括：登记编号、作物种类、品种名称、申请者、育种者、品种来源、适宜种植区域及季节等。</w:t>
      </w:r>
    </w:p>
    <w:p w14:paraId="1E15F4C6">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第二十条</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将品种登记信息进行公告，公告内容包括：登记编号、作物种类、品种名称、申请者、育种者、品种来源、特征特性、品质、抗性、产量、栽培技术要点、适宜种植区域及季节等。</w:t>
      </w:r>
    </w:p>
    <w:p w14:paraId="041F6958">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登记编号格式为：GPD +作物种类+(年号)+ 2位数字的省份代号+ 4位数字顺序号。</w:t>
      </w:r>
    </w:p>
    <w:p w14:paraId="431F0D72">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第二十一条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登记证书载明的品种名称为该品种的通用名称，禁止在生产、销售、推广过程中擅自更改。</w:t>
      </w:r>
    </w:p>
    <w:p w14:paraId="1FF69437">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第二十二条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已登记品种，申请者要求变更登记内容的，应当向原受理的省级人民政府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提出变更申请，并提交相关证明材料。</w:t>
      </w:r>
    </w:p>
    <w:p w14:paraId="47D9E4BB">
      <w:pPr>
        <w:spacing w:line="360" w:lineRule="auto"/>
        <w:ind w:firstLine="66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原受理的省级人民政府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对申请者提交的材料进行书面审查，符合要求的，报</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予以变更并公告，不再提交种子样品。</w:t>
      </w:r>
    </w:p>
    <w:p w14:paraId="547C7FD3">
      <w:pPr>
        <w:spacing w:line="360" w:lineRule="auto"/>
        <w:ind w:firstLine="66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登记品种变更事项限于品种适宜种植区域，以及相关的栽培技术要点、注意事项等内容。</w:t>
      </w:r>
    </w:p>
    <w:p w14:paraId="4B5D216B">
      <w:pPr>
        <w:spacing w:line="360" w:lineRule="auto"/>
        <w:jc w:val="center"/>
        <w:rPr>
          <w:rFonts w:hint="default" w:ascii="Times New Roman" w:hAnsi="Times New Roman" w:eastAsia="仿宋_GB2312" w:cs="Times New Roman"/>
          <w:color w:val="000000"/>
          <w:sz w:val="32"/>
          <w:szCs w:val="32"/>
        </w:rPr>
      </w:pPr>
    </w:p>
    <w:p w14:paraId="46A8F512">
      <w:pPr>
        <w:spacing w:line="360" w:lineRule="auto"/>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监督管理</w:t>
      </w:r>
    </w:p>
    <w:p w14:paraId="222ADF9B">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p>
    <w:p w14:paraId="50E89E74">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推进品种登记平台建设，逐步实行网上办理登记申请与受理，在统一的政府信息发布平台上发布品种登记、变更、撤销、监督管理等信息。</w:t>
      </w:r>
    </w:p>
    <w:p w14:paraId="1D2C179D">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第二十四条</w:t>
      </w: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对省级人民政府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开展品种登记工作情况进行监督检查，及时纠正违法行为，责令限期改正，对有关责任人员依法给予处分。</w:t>
      </w:r>
    </w:p>
    <w:p w14:paraId="378285CC">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第二十五条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发现已登记品种存在申请文件、种子样品不实，或者已登记品种出现不可克服的严重缺陷等情形的，应当向</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提出撤销该品种登记的意见。</w:t>
      </w:r>
    </w:p>
    <w:p w14:paraId="2B8AECFF">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eastAsia" w:eastAsia="仿宋_GB2312" w:cs="Times New Roman"/>
          <w:color w:val="000000"/>
          <w:sz w:val="32"/>
          <w:szCs w:val="32"/>
          <w:lang w:eastAsia="zh-CN"/>
        </w:rPr>
        <w:t>农业农村部</w:t>
      </w:r>
      <w:r>
        <w:rPr>
          <w:rFonts w:hint="default" w:ascii="Times New Roman" w:hAnsi="Times New Roman" w:eastAsia="仿宋_GB2312" w:cs="Times New Roman"/>
          <w:color w:val="000000"/>
          <w:sz w:val="32"/>
          <w:szCs w:val="32"/>
        </w:rPr>
        <w:t>撤销品种登记的，</w:t>
      </w:r>
      <w:r>
        <w:rPr>
          <w:rFonts w:hint="eastAsia" w:eastAsia="仿宋_GB2312" w:cs="Times New Roman"/>
          <w:color w:val="000000"/>
          <w:sz w:val="32"/>
          <w:szCs w:val="32"/>
          <w:lang w:eastAsia="zh-CN"/>
        </w:rPr>
        <w:t>进行十五个工作日的公示，公示无异议或异议不成立的，发布撤销</w:t>
      </w:r>
      <w:r>
        <w:rPr>
          <w:rFonts w:hint="default" w:ascii="Times New Roman" w:hAnsi="Times New Roman" w:eastAsia="仿宋_GB2312" w:cs="Times New Roman"/>
          <w:color w:val="000000"/>
          <w:sz w:val="32"/>
          <w:szCs w:val="32"/>
        </w:rPr>
        <w:t>公告，</w:t>
      </w:r>
      <w:r>
        <w:rPr>
          <w:rFonts w:hint="eastAsia" w:eastAsia="仿宋_GB2312" w:cs="Times New Roman"/>
          <w:color w:val="000000"/>
          <w:sz w:val="32"/>
          <w:szCs w:val="32"/>
          <w:lang w:eastAsia="zh-CN"/>
        </w:rPr>
        <w:t>相应品种</w:t>
      </w:r>
      <w:r>
        <w:rPr>
          <w:rFonts w:hint="default" w:ascii="Times New Roman" w:hAnsi="Times New Roman" w:eastAsia="仿宋_GB2312" w:cs="Times New Roman"/>
          <w:color w:val="000000"/>
          <w:sz w:val="32"/>
          <w:szCs w:val="32"/>
        </w:rPr>
        <w:t>停止推广；对于登记品种申请文件、种子样品不实的，按照规定将申请者的违法信息记入社会诚信档案，向社会公布。</w:t>
      </w:r>
    </w:p>
    <w:p w14:paraId="296636B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第二十六条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申请者在申请品种登记过程中有欺骗、贿赂等不正当行为的，三年内不受理其申请。</w:t>
      </w:r>
    </w:p>
    <w:p w14:paraId="1F450095">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第二十七条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品种测试、试验机构伪造测试、试验数据或者出具虚假证明的，省级人民政府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应当依照《种子法》第七十</w:t>
      </w:r>
      <w:r>
        <w:rPr>
          <w:rFonts w:hint="eastAsia"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条规定，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依法取消品种测试、试验资格。</w:t>
      </w:r>
    </w:p>
    <w:p w14:paraId="72A318C8">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第二十八条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有下列行为之一的，由县级以上人民政府</w:t>
      </w:r>
      <w:r>
        <w:rPr>
          <w:rFonts w:hint="eastAsia" w:eastAsia="仿宋_GB2312" w:cs="Times New Roman"/>
          <w:color w:val="000000"/>
          <w:sz w:val="32"/>
          <w:szCs w:val="32"/>
          <w:lang w:eastAsia="zh-CN"/>
        </w:rPr>
        <w:t>农业农村主管部门</w:t>
      </w:r>
      <w:r>
        <w:rPr>
          <w:rFonts w:hint="default" w:ascii="Times New Roman" w:hAnsi="Times New Roman" w:eastAsia="仿宋_GB2312" w:cs="Times New Roman"/>
          <w:color w:val="000000"/>
          <w:sz w:val="32"/>
          <w:szCs w:val="32"/>
        </w:rPr>
        <w:t>依照《种子法》第七十</w:t>
      </w:r>
      <w:r>
        <w:rPr>
          <w:rFonts w:hint="eastAsia" w:eastAsia="仿宋_GB2312" w:cs="Times New Roman"/>
          <w:color w:val="000000"/>
          <w:sz w:val="32"/>
          <w:szCs w:val="32"/>
          <w:lang w:eastAsia="zh-CN"/>
        </w:rPr>
        <w:t>八</w:t>
      </w:r>
      <w:r>
        <w:rPr>
          <w:rFonts w:hint="default" w:ascii="Times New Roman" w:hAnsi="Times New Roman" w:eastAsia="仿宋_GB2312" w:cs="Times New Roman"/>
          <w:color w:val="000000"/>
          <w:sz w:val="32"/>
          <w:szCs w:val="32"/>
        </w:rPr>
        <w:t>条规定，责令停止违法行为，没收违法所得和种子，并处二万元以上二十万元以下罚款：</w:t>
      </w:r>
    </w:p>
    <w:p w14:paraId="1F77C85E">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（一）对应当登记未经登记的农作物品种进行推广，或者以登记品种的名义进行销售的；</w:t>
      </w:r>
    </w:p>
    <w:p w14:paraId="43795C59">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（二）对已撤销登记的农作物品种进行推广，或者以登记品种的名义进行销售的。</w:t>
      </w:r>
    </w:p>
    <w:p w14:paraId="08B827A8">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第二十九条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品种登记工作人员应当忠于职守，公正廉洁，对在登记过程中获知的申请者的商业秘密负有保密义务，不得擅自对外提供登记品种的种子样品或者谋取非法利益。不依法履行职责，弄虚作假、徇私舞弊的，依法给予处分；自处分决定作出之日起五年内不得从事品种登记工作。</w:t>
      </w:r>
    </w:p>
    <w:p w14:paraId="1552D666">
      <w:pPr>
        <w:spacing w:line="360" w:lineRule="auto"/>
        <w:jc w:val="center"/>
        <w:rPr>
          <w:rFonts w:hint="default" w:ascii="Times New Roman" w:hAnsi="Times New Roman" w:eastAsia="黑体" w:cs="Times New Roman"/>
          <w:color w:val="000000"/>
          <w:sz w:val="32"/>
          <w:szCs w:val="32"/>
        </w:rPr>
      </w:pPr>
    </w:p>
    <w:p w14:paraId="32908FB9">
      <w:pPr>
        <w:spacing w:line="360" w:lineRule="auto"/>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附</w:t>
      </w:r>
      <w:r>
        <w:rPr>
          <w:rFonts w:hint="eastAsia"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则</w:t>
      </w:r>
    </w:p>
    <w:p w14:paraId="42B9ED96">
      <w:pPr>
        <w:spacing w:line="360" w:lineRule="auto"/>
        <w:jc w:val="center"/>
        <w:rPr>
          <w:rFonts w:hint="default" w:ascii="Times New Roman" w:hAnsi="Times New Roman" w:eastAsia="黑体" w:cs="Times New Roman"/>
          <w:color w:val="000000"/>
          <w:sz w:val="32"/>
          <w:szCs w:val="32"/>
        </w:rPr>
      </w:pPr>
    </w:p>
    <w:p w14:paraId="38036E91">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　第三十条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品种适应性、抗性鉴定以及特异性、一致性、稳定性测试，申请者可以自行开展，也可以委托其他机构开展。</w:t>
      </w:r>
    </w:p>
    <w:p w14:paraId="2FA5973D">
      <w:pPr>
        <w:spacing w:line="360" w:lineRule="auto"/>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color w:val="000000"/>
          <w:sz w:val="32"/>
          <w:szCs w:val="32"/>
        </w:rPr>
        <w:t>第三十一条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本办法自2017年5月1日起</w:t>
      </w:r>
      <w:r>
        <w:rPr>
          <w:rFonts w:hint="default" w:ascii="Times New Roman" w:hAnsi="Times New Roman" w:eastAsia="仿宋_GB2312" w:cs="Times New Roman"/>
          <w:color w:val="000000"/>
          <w:sz w:val="32"/>
          <w:szCs w:val="32"/>
          <w:lang w:eastAsia="zh-CN"/>
        </w:rPr>
        <w:t>施行</w:t>
      </w:r>
      <w:r>
        <w:rPr>
          <w:rFonts w:hint="eastAsia" w:ascii="Times New Roman" w:hAnsi="Times New Roman" w:eastAsia="仿宋_GB2312" w:cs="Times New Roman"/>
          <w:color w:val="000000"/>
          <w:sz w:val="32"/>
          <w:szCs w:val="32"/>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526E">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2A32D">
                          <w:pPr>
                            <w:pStyle w:val="4"/>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692A32D">
                    <w:pPr>
                      <w:pStyle w:val="4"/>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ODMzNzIxNTk5MmFhZTNlNGUyN2ZlYTRiYjNjOTcifQ=="/>
  </w:docVars>
  <w:rsids>
    <w:rsidRoot w:val="18301756"/>
    <w:rsid w:val="082C2100"/>
    <w:rsid w:val="0DB76798"/>
    <w:rsid w:val="14276DF3"/>
    <w:rsid w:val="18301756"/>
    <w:rsid w:val="1CE46F55"/>
    <w:rsid w:val="203B1313"/>
    <w:rsid w:val="24A939BC"/>
    <w:rsid w:val="36F72EF8"/>
    <w:rsid w:val="477B4B24"/>
    <w:rsid w:val="48EB7FCA"/>
    <w:rsid w:val="539A0F3A"/>
    <w:rsid w:val="59FDFF0C"/>
    <w:rsid w:val="6AF66CD3"/>
    <w:rsid w:val="6D5960C8"/>
    <w:rsid w:val="6FCDC0E1"/>
    <w:rsid w:val="7B9FE783"/>
    <w:rsid w:val="7BDE5A33"/>
    <w:rsid w:val="7FCD0BBA"/>
    <w:rsid w:val="7FF67541"/>
    <w:rsid w:val="F37A5885"/>
    <w:rsid w:val="F7770CC6"/>
    <w:rsid w:val="FD7F9507"/>
    <w:rsid w:val="FF09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after="100" w:afterAutospacing="1" w:line="340" w:lineRule="exact"/>
      <w:jc w:val="center"/>
      <w:outlineLvl w:val="0"/>
    </w:pPr>
    <w:rPr>
      <w:rFonts w:ascii="方正小标宋_GBK" w:hAnsi="宋体" w:eastAsia="方正小标宋_GBK" w:cs="宋体"/>
      <w:b/>
      <w:bCs/>
      <w:color w:val="000000"/>
      <w:kern w:val="36"/>
      <w:sz w:val="32"/>
      <w:szCs w:val="32"/>
    </w:rPr>
  </w:style>
  <w:style w:type="paragraph" w:styleId="3">
    <w:name w:val="heading 2"/>
    <w:basedOn w:val="1"/>
    <w:next w:val="1"/>
    <w:link w:val="10"/>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customStyle="1" w:styleId="10">
    <w:name w:val="标题 2 字符"/>
    <w:link w:val="3"/>
    <w:qFormat/>
    <w:uiPriority w:val="9"/>
    <w:rPr>
      <w:rFonts w:ascii="Arial" w:hAnsi="Arial" w:eastAsia="黑体"/>
      <w:b/>
      <w:sz w:val="32"/>
    </w:rPr>
  </w:style>
  <w:style w:type="paragraph" w:customStyle="1" w:styleId="11">
    <w:name w:val="副标题-normal"/>
    <w:basedOn w:val="12"/>
    <w:qFormat/>
    <w:uiPriority w:val="0"/>
    <w:pPr>
      <w:ind w:firstLine="0" w:firstLineChars="0"/>
      <w:jc w:val="center"/>
    </w:pPr>
    <w:rPr>
      <w:rFonts w:eastAsia="楷体_GB2312"/>
    </w:rPr>
  </w:style>
  <w:style w:type="paragraph" w:customStyle="1" w:styleId="12">
    <w:name w:val="正文-normal"/>
    <w:qFormat/>
    <w:uiPriority w:val="3"/>
    <w:pPr>
      <w:ind w:firstLine="200" w:firstLineChars="200"/>
      <w:jc w:val="both"/>
    </w:pPr>
    <w:rPr>
      <w:rFonts w:ascii="Times New Roman" w:hAnsi="Times New Roman"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468</Words>
  <Characters>482</Characters>
  <Lines>0</Lines>
  <Paragraphs>0</Paragraphs>
  <TotalTime>54</TotalTime>
  <ScaleCrop>false</ScaleCrop>
  <LinksUpToDate>false</LinksUpToDate>
  <CharactersWithSpaces>514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2022-10-12T17:38:00Z</dcterms:created>
  <dc:creator>lenovo</dc:creator>
  <cp:lastModifiedBy>哆啦A</cp:lastModifiedBy>
  <dcterms:modified xsi:type="dcterms:W3CDTF">2026-03-13T02:16:15Z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6D135EA352B7456D9D6AD7A7B9FE8D5A_13</vt:lpwstr>
  </property>
  <property fmtid="{D5CDD505-2E9C-101B-9397-08002B2CF9AE}" pid="4" name="KSOTemplateDocerSaveRecord">
    <vt:lpwstr>eyJoZGlkIjoiNDRlM2IyZDQ4ZjlhMDZhZWMyMzVmMmVjZWM5ZTFhMTAiLCJ1c2VySWQiOiIzODk1NzM5NzcifQ==</vt:lpwstr>
  </property>
</Properties>
</file>