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BE382">
      <w:pPr>
        <w:pStyle w:val="34"/>
        <w:rPr>
          <w:rFonts w:hint="eastAsia"/>
        </w:rPr>
      </w:pPr>
      <w:bookmarkStart w:id="0" w:name="_GoBack"/>
      <w:bookmarkEnd w:id="0"/>
    </w:p>
    <w:p w14:paraId="2E0B7C09">
      <w:pPr>
        <w:pStyle w:val="34"/>
      </w:pPr>
      <w:r>
        <w:rPr>
          <w:rFonts w:hint="eastAsia"/>
        </w:rPr>
        <w:t>吕泗、长江口和舟山渔场部分海域 捕捞许可管理规定</w:t>
      </w:r>
    </w:p>
    <w:p w14:paraId="6C212350">
      <w:pPr>
        <w:pStyle w:val="27"/>
      </w:pPr>
      <w:r>
        <w:rPr>
          <w:rFonts w:hint="eastAsia"/>
        </w:rPr>
        <w:t>（1999年2月13日农渔发〔1999〕3号公布</w:t>
      </w:r>
      <w:r>
        <w:rPr>
          <w:rFonts w:hint="eastAsia"/>
          <w:lang w:eastAsia="zh-CN"/>
        </w:rPr>
        <w:t>，</w:t>
      </w:r>
      <w:r>
        <w:rPr>
          <w:rFonts w:hint="eastAsia"/>
        </w:rPr>
        <w:t>自1999年2月13日起施行</w:t>
      </w:r>
      <w:r>
        <w:rPr>
          <w:rFonts w:hint="eastAsia"/>
          <w:lang w:eastAsia="zh-CN"/>
        </w:rPr>
        <w:t>，</w:t>
      </w:r>
      <w:r>
        <w:rPr>
          <w:rFonts w:hint="eastAsia"/>
        </w:rPr>
        <w:t>2025年7月15日农业农村部令2025年第3号</w:t>
      </w:r>
      <w:r>
        <w:rPr>
          <w:rFonts w:hint="eastAsia"/>
          <w:lang w:eastAsia="zh-CN"/>
        </w:rPr>
        <w:t>废止</w:t>
      </w:r>
      <w:r>
        <w:rPr>
          <w:rFonts w:hint="eastAsia"/>
        </w:rPr>
        <w:t>）</w:t>
      </w:r>
    </w:p>
    <w:p w14:paraId="3AFA861E">
      <w:pPr>
        <w:pStyle w:val="35"/>
      </w:pPr>
    </w:p>
    <w:p w14:paraId="407A051F">
      <w:pPr>
        <w:pStyle w:val="35"/>
        <w:rPr>
          <w:rFonts w:cs="Times New Roman"/>
        </w:rPr>
      </w:pPr>
      <w:r>
        <w:rPr>
          <w:rFonts w:hint="eastAsia" w:cs="Times New Roman"/>
        </w:rPr>
        <w:t>吕泗渔场、长江口渔场和舟山渔场是我国近海主要经济鱼类重要的产卵地和索饵场。加强吕泗等渔场的管理,对近海经济鱼类资源的养护，保持我国海洋渔业的持续发展，具有十分重要的意义。为了保护和合理利用东、黄、渤梅主要经济鱼类资源，农业部于1992年颁布了《关于东、黄、渤海主要渔场渔汛生产安排和管理的规定》，对吕泗、长江口和舟山等主要渔场的生产安排和大黄鱼、小黄鱼、带鱼等主要经济鱼类资源的保护，作出了具体规定。《规定》实施后，对东、黄、渤海渔业资源的保护，发挥了积极的作用。但是，由于近几年来海洋捕捞强度的持续增长，捕捞能力大大超过了渔业资源承受能力，特别是吕泗等渔场的主要经济鱼类资源，更是面临前所未有的压力。根据渔业资源专家的建议，并征求有关省市渔业行政主管部门的意见，现就吕泗渔场、长江口渔场和舟山渔场部分海域的捕捞许可管理，调整规定如下：</w:t>
      </w:r>
    </w:p>
    <w:p w14:paraId="7CA67810">
      <w:pPr>
        <w:pStyle w:val="36"/>
        <w:ind w:firstLine="0" w:firstLineChars="0"/>
        <w:jc w:val="center"/>
      </w:pPr>
      <w:r>
        <w:rPr>
          <w:rFonts w:hint="eastAsia"/>
        </w:rPr>
        <w:t>一、海域范围</w:t>
      </w:r>
    </w:p>
    <w:p w14:paraId="2337B08E">
      <w:pPr>
        <w:pStyle w:val="35"/>
        <w:rPr>
          <w:rFonts w:cs="Times New Roman"/>
        </w:rPr>
      </w:pPr>
      <w:r>
        <w:rPr>
          <w:rFonts w:hint="eastAsia" w:cs="Times New Roman"/>
        </w:rPr>
        <w:t>调整的海域的范围为以下各点连线以西至禁渔区线海域：</w:t>
      </w:r>
    </w:p>
    <w:p w14:paraId="1C993EFE">
      <w:pPr>
        <w:pStyle w:val="35"/>
        <w:rPr>
          <w:rFonts w:cs="Times New Roman"/>
        </w:rPr>
      </w:pPr>
      <w:r>
        <w:rPr>
          <w:rFonts w:hint="eastAsia" w:cs="Times New Roman"/>
        </w:rPr>
        <w:t>北纬34度、东经122度30分;</w:t>
      </w:r>
    </w:p>
    <w:p w14:paraId="3F4FDEB1">
      <w:pPr>
        <w:pStyle w:val="35"/>
        <w:rPr>
          <w:rFonts w:cs="Times New Roman"/>
        </w:rPr>
      </w:pPr>
      <w:r>
        <w:rPr>
          <w:rFonts w:hint="eastAsia" w:cs="Times New Roman"/>
        </w:rPr>
        <w:t>北纬32度、东经122度30分;</w:t>
      </w:r>
    </w:p>
    <w:p w14:paraId="2F76B942">
      <w:pPr>
        <w:pStyle w:val="35"/>
        <w:rPr>
          <w:rFonts w:cs="Times New Roman"/>
        </w:rPr>
      </w:pPr>
      <w:r>
        <w:rPr>
          <w:rFonts w:hint="eastAsia" w:cs="Times New Roman"/>
        </w:rPr>
        <w:t>北纬32度、东经124度;</w:t>
      </w:r>
    </w:p>
    <w:p w14:paraId="6782EE45">
      <w:pPr>
        <w:pStyle w:val="35"/>
        <w:rPr>
          <w:rFonts w:cs="Times New Roman"/>
        </w:rPr>
      </w:pPr>
      <w:r>
        <w:rPr>
          <w:rFonts w:hint="eastAsia" w:cs="Times New Roman"/>
        </w:rPr>
        <w:t>北纬20度30分、东经124度。</w:t>
      </w:r>
    </w:p>
    <w:p w14:paraId="21A2696D">
      <w:pPr>
        <w:pStyle w:val="36"/>
        <w:ind w:firstLine="0" w:firstLineChars="0"/>
        <w:jc w:val="center"/>
      </w:pPr>
      <w:r>
        <w:rPr>
          <w:rFonts w:hint="eastAsia"/>
        </w:rPr>
        <w:t>二、关于捕捞许可的规定</w:t>
      </w:r>
    </w:p>
    <w:p w14:paraId="3325C9A4">
      <w:pPr>
        <w:pStyle w:val="35"/>
        <w:rPr>
          <w:rFonts w:cs="Times New Roman"/>
        </w:rPr>
      </w:pPr>
      <w:r>
        <w:rPr>
          <w:rFonts w:hint="eastAsia" w:cs="Times New Roman"/>
        </w:rPr>
        <w:t>1.严格控制上述海域的海洋捕捞强度。今后上述海域不再安排非海域毗邻省市渔船进入该海域从事捕捞作业活动。海域毗邻省市的渔业主管部门也要采取切实有效措施，严格控制该海域的捕捞作业规模，只限安排海域邻近地区的渔船进入从事捕捞生产，其规模控制在1998年的水平以内。各地不得以任何方式增加该海域任何作业形式的捕捞作业渔船。</w:t>
      </w:r>
    </w:p>
    <w:p w14:paraId="664FA7ED">
      <w:pPr>
        <w:pStyle w:val="35"/>
        <w:rPr>
          <w:rFonts w:cs="Times New Roman"/>
        </w:rPr>
      </w:pPr>
      <w:r>
        <w:rPr>
          <w:rFonts w:hint="eastAsia" w:cs="Times New Roman"/>
        </w:rPr>
        <w:t>2.所在该海域从事捕捞作业的渔船，必须经省市渔业主管部门审核后报农业部审批。经批准的渔船到农业部东海区渔政渔港监督管理局领取专项（特许）捕捞许可证书后，方可进行捕捞生产活动。</w:t>
      </w:r>
    </w:p>
    <w:p w14:paraId="7B8A288E">
      <w:pPr>
        <w:pStyle w:val="35"/>
        <w:rPr>
          <w:rFonts w:cs="Times New Roman"/>
        </w:rPr>
      </w:pPr>
      <w:r>
        <w:rPr>
          <w:rFonts w:hint="eastAsia" w:cs="Times New Roman"/>
        </w:rPr>
        <w:t>3.所有在该海城从事捕捞作业的渔船实行幼鱼比例检查制度。实行幼鱼比例检查的鱼种包括：大前鱼、小黄鱼、带鱼、鲳鱼。具体实施办法按有关规定执行。</w:t>
      </w:r>
    </w:p>
    <w:p w14:paraId="78B8D610">
      <w:pPr>
        <w:pStyle w:val="35"/>
        <w:rPr>
          <w:rFonts w:cs="Times New Roman"/>
        </w:rPr>
      </w:pPr>
      <w:r>
        <w:rPr>
          <w:rFonts w:hint="eastAsia" w:cs="Times New Roman"/>
        </w:rPr>
        <w:t>4.违反上述规定的渔船按照《渔业法》及《渔业法实施细则》的有关规定，予以处罚。</w:t>
      </w:r>
    </w:p>
    <w:p w14:paraId="7C94D5B4">
      <w:pPr>
        <w:pStyle w:val="35"/>
        <w:rPr>
          <w:rFonts w:cs="Times New Roman"/>
        </w:rPr>
      </w:pPr>
      <w:r>
        <w:rPr>
          <w:rFonts w:hint="eastAsia" w:cs="Times New Roman"/>
        </w:rPr>
        <w:t>本规定自下发之日起执行，各渔业行政主管部门要加强对渔民的教育、解释工作，妥善安排好退出上述海域渔船的生产。</w:t>
      </w:r>
    </w:p>
    <w:p w14:paraId="1BE572F6">
      <w:pPr>
        <w:pStyle w:val="35"/>
        <w:rPr>
          <w:rFonts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hint="eastAsia" w:ascii="仿宋_GB2312" w:eastAsia="仿宋_GB2312"/>
        <w:sz w:val="24"/>
        <w:szCs w:val="24"/>
      </w:rPr>
    </w:sdtEndPr>
    <w:sdtContent>
      <w:p w14:paraId="6D6E24D0">
        <w:pPr>
          <w:pStyle w:val="2"/>
          <w:snapToGrid/>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9 -</w:t>
        </w:r>
        <w:r>
          <w:rPr>
            <w:rFonts w:hint="eastAsia" w:ascii="仿宋_GB2312" w:eastAsia="仿宋_GB2312"/>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E1"/>
    <w:rsid w:val="00052ABD"/>
    <w:rsid w:val="00095E32"/>
    <w:rsid w:val="000B6A0F"/>
    <w:rsid w:val="00204B72"/>
    <w:rsid w:val="002075AE"/>
    <w:rsid w:val="00296EE4"/>
    <w:rsid w:val="002B0785"/>
    <w:rsid w:val="002D68B5"/>
    <w:rsid w:val="002F3712"/>
    <w:rsid w:val="00303EB3"/>
    <w:rsid w:val="00355323"/>
    <w:rsid w:val="003F36BB"/>
    <w:rsid w:val="00427656"/>
    <w:rsid w:val="00445908"/>
    <w:rsid w:val="004D22AB"/>
    <w:rsid w:val="005767B4"/>
    <w:rsid w:val="005A16BB"/>
    <w:rsid w:val="006056C9"/>
    <w:rsid w:val="00636639"/>
    <w:rsid w:val="00645A35"/>
    <w:rsid w:val="006A4EC1"/>
    <w:rsid w:val="006B4EED"/>
    <w:rsid w:val="006B59A0"/>
    <w:rsid w:val="006C495F"/>
    <w:rsid w:val="0072575E"/>
    <w:rsid w:val="007B0379"/>
    <w:rsid w:val="007C630B"/>
    <w:rsid w:val="007D4A53"/>
    <w:rsid w:val="008671C9"/>
    <w:rsid w:val="008F15D1"/>
    <w:rsid w:val="009F55AE"/>
    <w:rsid w:val="00AD2601"/>
    <w:rsid w:val="00B02DD6"/>
    <w:rsid w:val="00B24249"/>
    <w:rsid w:val="00B328F2"/>
    <w:rsid w:val="00B32E53"/>
    <w:rsid w:val="00B62F18"/>
    <w:rsid w:val="00BF554F"/>
    <w:rsid w:val="00C13232"/>
    <w:rsid w:val="00C67982"/>
    <w:rsid w:val="00CC7717"/>
    <w:rsid w:val="00D90798"/>
    <w:rsid w:val="00E43A6F"/>
    <w:rsid w:val="00E862C2"/>
    <w:rsid w:val="00EF34E1"/>
    <w:rsid w:val="00F02506"/>
    <w:rsid w:val="00F71282"/>
    <w:rsid w:val="00F83619"/>
    <w:rsid w:val="3EDF05D9"/>
    <w:rsid w:val="65194A09"/>
    <w:rsid w:val="7BCCBD56"/>
    <w:rsid w:val="7FF42D37"/>
    <w:rsid w:val="7FF76A25"/>
    <w:rsid w:val="FCFF0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7"/>
    <w:unhideWhenUsed/>
    <w:qFormat/>
    <w:uiPriority w:val="99"/>
    <w:pPr>
      <w:tabs>
        <w:tab w:val="center" w:pos="4153"/>
        <w:tab w:val="right" w:pos="8306"/>
      </w:tabs>
      <w:snapToGrid w:val="0"/>
      <w:jc w:val="left"/>
    </w:pPr>
    <w:rPr>
      <w:sz w:val="18"/>
      <w:szCs w:val="18"/>
    </w:rPr>
  </w:style>
  <w:style w:type="paragraph" w:styleId="3">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章标题-政法司"/>
    <w:link w:val="8"/>
    <w:qFormat/>
    <w:uiPriority w:val="0"/>
    <w:pPr>
      <w:jc w:val="center"/>
      <w:outlineLvl w:val="0"/>
    </w:pPr>
    <w:rPr>
      <w:rFonts w:ascii="Times New Roman" w:hAnsi="Times New Roman" w:eastAsia="黑体" w:cstheme="minorBidi"/>
      <w:kern w:val="2"/>
      <w:sz w:val="36"/>
      <w:szCs w:val="36"/>
      <w:lang w:val="en-US" w:eastAsia="zh-CN" w:bidi="ar-SA"/>
    </w:rPr>
  </w:style>
  <w:style w:type="character" w:customStyle="1" w:styleId="8">
    <w:name w:val="章标题-政法司 字符"/>
    <w:basedOn w:val="6"/>
    <w:link w:val="7"/>
    <w:qFormat/>
    <w:uiPriority w:val="0"/>
    <w:rPr>
      <w:rFonts w:ascii="Times New Roman" w:hAnsi="Times New Roman" w:eastAsia="黑体"/>
      <w:sz w:val="36"/>
      <w:szCs w:val="36"/>
    </w:rPr>
  </w:style>
  <w:style w:type="paragraph" w:customStyle="1" w:styleId="9">
    <w:name w:val="表标题-政法司"/>
    <w:qFormat/>
    <w:uiPriority w:val="4"/>
    <w:pPr>
      <w:jc w:val="center"/>
      <w:outlineLvl w:val="3"/>
    </w:pPr>
    <w:rPr>
      <w:rFonts w:ascii="Times New Roman" w:hAnsi="Times New Roman" w:eastAsia="黑体" w:cstheme="minorBidi"/>
      <w:kern w:val="2"/>
      <w:sz w:val="24"/>
      <w:szCs w:val="24"/>
      <w:lang w:val="en-US" w:eastAsia="zh-CN" w:bidi="ar-SA"/>
    </w:rPr>
  </w:style>
  <w:style w:type="paragraph" w:customStyle="1" w:styleId="10">
    <w:name w:val="脚注-政法司"/>
    <w:link w:val="11"/>
    <w:qFormat/>
    <w:uiPriority w:val="6"/>
    <w:rPr>
      <w:rFonts w:ascii="Times New Roman" w:hAnsi="Times New Roman" w:eastAsia="宋体" w:cs="Times New Roman"/>
      <w:kern w:val="2"/>
      <w:sz w:val="18"/>
      <w:szCs w:val="18"/>
      <w:lang w:val="en-US" w:eastAsia="zh-CN" w:bidi="ar-SA"/>
    </w:rPr>
  </w:style>
  <w:style w:type="character" w:customStyle="1" w:styleId="11">
    <w:name w:val="脚注-政法司 字符"/>
    <w:basedOn w:val="6"/>
    <w:link w:val="10"/>
    <w:qFormat/>
    <w:uiPriority w:val="6"/>
    <w:rPr>
      <w:rFonts w:ascii="Times New Roman" w:hAnsi="Times New Roman" w:eastAsia="宋体" w:cs="Times New Roman"/>
      <w:sz w:val="18"/>
      <w:szCs w:val="18"/>
    </w:rPr>
  </w:style>
  <w:style w:type="paragraph" w:customStyle="1" w:styleId="12">
    <w:name w:val="节标题-政法司"/>
    <w:link w:val="13"/>
    <w:qFormat/>
    <w:uiPriority w:val="1"/>
    <w:pPr>
      <w:jc w:val="center"/>
      <w:outlineLvl w:val="1"/>
    </w:pPr>
    <w:rPr>
      <w:rFonts w:ascii="Times New Roman" w:hAnsi="Times New Roman" w:eastAsia="黑体" w:cstheme="minorBidi"/>
      <w:kern w:val="2"/>
      <w:sz w:val="32"/>
      <w:szCs w:val="32"/>
      <w:lang w:val="en-US" w:eastAsia="zh-CN" w:bidi="ar-SA"/>
    </w:rPr>
  </w:style>
  <w:style w:type="character" w:customStyle="1" w:styleId="13">
    <w:name w:val="节标题-政法司 字符"/>
    <w:basedOn w:val="6"/>
    <w:link w:val="12"/>
    <w:qFormat/>
    <w:uiPriority w:val="1"/>
    <w:rPr>
      <w:rFonts w:ascii="Times New Roman" w:hAnsi="Times New Roman" w:eastAsia="黑体"/>
      <w:sz w:val="32"/>
      <w:szCs w:val="32"/>
    </w:rPr>
  </w:style>
  <w:style w:type="paragraph" w:customStyle="1" w:styleId="14">
    <w:name w:val="三级标题-政法司"/>
    <w:qFormat/>
    <w:uiPriority w:val="2"/>
    <w:pPr>
      <w:ind w:firstLine="200" w:firstLineChars="200"/>
      <w:jc w:val="both"/>
      <w:outlineLvl w:val="2"/>
    </w:pPr>
    <w:rPr>
      <w:rFonts w:ascii="Times New Roman" w:hAnsi="Times New Roman" w:eastAsia="楷体_GB2312" w:cstheme="minorBidi"/>
      <w:b/>
      <w:kern w:val="2"/>
      <w:sz w:val="32"/>
      <w:szCs w:val="32"/>
      <w:lang w:val="en-US" w:eastAsia="zh-CN" w:bidi="ar-SA"/>
    </w:rPr>
  </w:style>
  <w:style w:type="paragraph" w:customStyle="1" w:styleId="15">
    <w:name w:val="四级标题-政法司"/>
    <w:qFormat/>
    <w:uiPriority w:val="2"/>
    <w:pPr>
      <w:ind w:firstLine="200" w:firstLineChars="200"/>
      <w:jc w:val="both"/>
    </w:pPr>
    <w:rPr>
      <w:rFonts w:ascii="Times New Roman" w:hAnsi="Times New Roman" w:eastAsia="仿宋_GB2312" w:cstheme="minorBidi"/>
      <w:b/>
      <w:kern w:val="2"/>
      <w:sz w:val="32"/>
      <w:szCs w:val="32"/>
      <w:lang w:val="en-US" w:eastAsia="zh-CN" w:bidi="ar-SA"/>
    </w:rPr>
  </w:style>
  <w:style w:type="paragraph" w:customStyle="1" w:styleId="16">
    <w:name w:val="图标题-政法司"/>
    <w:basedOn w:val="1"/>
    <w:qFormat/>
    <w:uiPriority w:val="5"/>
    <w:pPr>
      <w:widowControl/>
      <w:jc w:val="center"/>
      <w:outlineLvl w:val="4"/>
    </w:pPr>
    <w:rPr>
      <w:rFonts w:ascii="Times New Roman" w:hAnsi="Times New Roman" w:eastAsia="黑体"/>
      <w:sz w:val="24"/>
      <w:szCs w:val="24"/>
    </w:rPr>
  </w:style>
  <w:style w:type="paragraph" w:customStyle="1" w:styleId="17">
    <w:name w:val="图表注-政法司"/>
    <w:qFormat/>
    <w:uiPriority w:val="6"/>
    <w:pPr>
      <w:ind w:firstLine="200" w:firstLineChars="200"/>
      <w:jc w:val="both"/>
    </w:pPr>
    <w:rPr>
      <w:rFonts w:ascii="Times New Roman" w:hAnsi="Times New Roman" w:eastAsia="宋体" w:cs="Times New Roman"/>
      <w:kern w:val="2"/>
      <w:sz w:val="18"/>
      <w:szCs w:val="21"/>
      <w:lang w:val="en-US" w:eastAsia="zh-CN" w:bidi="ar-SA"/>
    </w:rPr>
  </w:style>
  <w:style w:type="paragraph" w:customStyle="1" w:styleId="18">
    <w:name w:val="正文-政法司"/>
    <w:link w:val="19"/>
    <w:qFormat/>
    <w:uiPriority w:val="3"/>
    <w:pPr>
      <w:autoSpaceDE w:val="0"/>
      <w:autoSpaceDN w:val="0"/>
      <w:ind w:firstLine="640" w:firstLineChars="200"/>
      <w:jc w:val="both"/>
    </w:pPr>
    <w:rPr>
      <w:rFonts w:ascii="Times New Roman" w:hAnsi="Times New Roman" w:eastAsia="仿宋_GB2312" w:cs="Times"/>
      <w:sz w:val="32"/>
      <w:szCs w:val="32"/>
      <w:lang w:val="en-US" w:eastAsia="zh-CN" w:bidi="ar-SA"/>
    </w:rPr>
  </w:style>
  <w:style w:type="character" w:customStyle="1" w:styleId="19">
    <w:name w:val="正文-政法司 字符"/>
    <w:basedOn w:val="6"/>
    <w:link w:val="18"/>
    <w:qFormat/>
    <w:uiPriority w:val="3"/>
    <w:rPr>
      <w:rFonts w:ascii="Times New Roman" w:hAnsi="Times New Roman" w:eastAsia="仿宋_GB2312" w:cs="Times"/>
      <w:kern w:val="0"/>
      <w:sz w:val="32"/>
      <w:szCs w:val="32"/>
    </w:rPr>
  </w:style>
  <w:style w:type="paragraph" w:customStyle="1" w:styleId="20">
    <w:name w:val="专栏-政法司"/>
    <w:qFormat/>
    <w:uiPriority w:val="0"/>
    <w:pPr>
      <w:autoSpaceDE w:val="0"/>
      <w:autoSpaceDN w:val="0"/>
      <w:ind w:firstLine="200" w:firstLineChars="200"/>
      <w:jc w:val="both"/>
    </w:pPr>
    <w:rPr>
      <w:rFonts w:ascii="Times New Roman" w:hAnsi="Times New Roman" w:eastAsia="仿宋_GB2312" w:cs="Times"/>
      <w:sz w:val="21"/>
      <w:szCs w:val="21"/>
      <w:lang w:val="en-US" w:eastAsia="zh-CN" w:bidi="ar-SA"/>
    </w:rPr>
  </w:style>
  <w:style w:type="paragraph" w:customStyle="1" w:styleId="21">
    <w:name w:val="标题-normal"/>
    <w:next w:val="22"/>
    <w:link w:val="23"/>
    <w:qFormat/>
    <w:uiPriority w:val="0"/>
    <w:pPr>
      <w:jc w:val="center"/>
    </w:pPr>
    <w:rPr>
      <w:rFonts w:ascii="Times New Roman" w:hAnsi="Times New Roman" w:eastAsia="华文中宋" w:cstheme="minorBidi"/>
      <w:kern w:val="2"/>
      <w:sz w:val="36"/>
      <w:szCs w:val="21"/>
      <w:lang w:val="en-US" w:eastAsia="zh-CN" w:bidi="ar-SA"/>
    </w:rPr>
  </w:style>
  <w:style w:type="paragraph" w:customStyle="1" w:styleId="22">
    <w:name w:val="正文-normal"/>
    <w:qFormat/>
    <w:uiPriority w:val="3"/>
    <w:pPr>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23">
    <w:name w:val="标题-normal 字符"/>
    <w:basedOn w:val="6"/>
    <w:link w:val="21"/>
    <w:qFormat/>
    <w:uiPriority w:val="0"/>
    <w:rPr>
      <w:rFonts w:ascii="Times New Roman" w:hAnsi="Times New Roman" w:eastAsia="华文中宋"/>
      <w:sz w:val="36"/>
    </w:rPr>
  </w:style>
  <w:style w:type="paragraph" w:customStyle="1" w:styleId="24">
    <w:name w:val="一级标题-normal"/>
    <w:next w:val="22"/>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25">
    <w:name w:val="二级标题-normal"/>
    <w:next w:val="22"/>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26">
    <w:name w:val="三级标题-normal"/>
    <w:next w:val="22"/>
    <w:qFormat/>
    <w:uiPriority w:val="2"/>
    <w:pPr>
      <w:ind w:firstLine="643" w:firstLineChars="200"/>
      <w:jc w:val="both"/>
    </w:pPr>
    <w:rPr>
      <w:rFonts w:ascii="Times New Roman" w:hAnsi="Times New Roman" w:eastAsia="仿宋_GB2312" w:cstheme="minorBidi"/>
      <w:b/>
      <w:kern w:val="2"/>
      <w:sz w:val="32"/>
      <w:szCs w:val="21"/>
      <w:lang w:val="en-US" w:eastAsia="zh-CN" w:bidi="ar-SA"/>
    </w:rPr>
  </w:style>
  <w:style w:type="paragraph" w:customStyle="1" w:styleId="27">
    <w:name w:val="副标题-normal"/>
    <w:basedOn w:val="22"/>
    <w:qFormat/>
    <w:uiPriority w:val="0"/>
    <w:pPr>
      <w:ind w:firstLine="0" w:firstLineChars="0"/>
      <w:jc w:val="center"/>
    </w:pPr>
    <w:rPr>
      <w:rFonts w:eastAsia="楷体_GB2312"/>
    </w:rPr>
  </w:style>
  <w:style w:type="paragraph" w:customStyle="1" w:styleId="28">
    <w:name w:val="页码-normal"/>
    <w:qFormat/>
    <w:uiPriority w:val="0"/>
    <w:pPr>
      <w:jc w:val="center"/>
    </w:pPr>
    <w:rPr>
      <w:rFonts w:ascii="仿宋_GB2312" w:hAnsi="Times New Roman" w:eastAsia="仿宋_GB2312" w:cstheme="minorBidi"/>
      <w:kern w:val="2"/>
      <w:sz w:val="24"/>
      <w:szCs w:val="21"/>
      <w:lang w:val="en-US" w:eastAsia="zh-CN" w:bidi="ar-SA"/>
    </w:rPr>
  </w:style>
  <w:style w:type="paragraph" w:customStyle="1" w:styleId="29">
    <w:name w:val="正文-农业绿色发展书稿"/>
    <w:qFormat/>
    <w:uiPriority w:val="0"/>
    <w:pPr>
      <w:ind w:firstLine="605" w:firstLineChars="200"/>
      <w:jc w:val="both"/>
    </w:pPr>
    <w:rPr>
      <w:rFonts w:ascii="Times New Roman" w:hAnsi="Times New Roman" w:eastAsia="宋体" w:cs="宋体"/>
      <w:w w:val="95"/>
      <w:kern w:val="44"/>
      <w:sz w:val="32"/>
      <w:szCs w:val="29"/>
      <w:lang w:val="en-US" w:eastAsia="zh-CN" w:bidi="ar-SA"/>
    </w:rPr>
  </w:style>
  <w:style w:type="paragraph" w:customStyle="1" w:styleId="30">
    <w:name w:val="三级标题-农业绿色发展书稿"/>
    <w:basedOn w:val="1"/>
    <w:qFormat/>
    <w:uiPriority w:val="0"/>
    <w:pPr>
      <w:spacing w:before="50" w:beforeLines="50" w:after="50" w:afterLines="50"/>
      <w:ind w:firstLine="200" w:firstLineChars="200"/>
      <w:outlineLvl w:val="2"/>
    </w:pPr>
    <w:rPr>
      <w:rFonts w:ascii="Times New Roman" w:hAnsi="Times New Roman" w:eastAsia="宋体" w:cs="Times New Roman"/>
      <w:b/>
      <w:sz w:val="32"/>
      <w:szCs w:val="32"/>
    </w:rPr>
  </w:style>
  <w:style w:type="paragraph" w:customStyle="1" w:styleId="31">
    <w:name w:val="四级标题-农业绿色发展书稿"/>
    <w:qFormat/>
    <w:uiPriority w:val="0"/>
    <w:pPr>
      <w:ind w:firstLine="200" w:firstLineChars="200"/>
      <w:jc w:val="both"/>
      <w:outlineLvl w:val="3"/>
    </w:pPr>
    <w:rPr>
      <w:rFonts w:ascii="Times New Roman" w:hAnsi="Times New Roman" w:eastAsia="宋体" w:cs="Times New Roman"/>
      <w:b/>
      <w:kern w:val="2"/>
      <w:sz w:val="32"/>
      <w:szCs w:val="32"/>
      <w:lang w:val="en-US" w:eastAsia="zh-CN" w:bidi="ar-SA"/>
    </w:rPr>
  </w:style>
  <w:style w:type="paragraph" w:customStyle="1" w:styleId="32">
    <w:name w:val="二级标题-农业绿色发展书稿"/>
    <w:qFormat/>
    <w:uiPriority w:val="0"/>
    <w:pPr>
      <w:spacing w:before="234" w:beforeLines="75" w:after="234" w:afterLines="75"/>
      <w:jc w:val="center"/>
      <w:outlineLvl w:val="1"/>
    </w:pPr>
    <w:rPr>
      <w:rFonts w:ascii="Times New Roman" w:hAnsi="Times New Roman" w:eastAsia="宋体" w:cs="Times New Roman"/>
      <w:b/>
      <w:kern w:val="2"/>
      <w:sz w:val="32"/>
      <w:szCs w:val="32"/>
      <w:lang w:val="en-US" w:eastAsia="zh-CN" w:bidi="ar-SA"/>
    </w:rPr>
  </w:style>
  <w:style w:type="paragraph" w:customStyle="1" w:styleId="33">
    <w:name w:val="章标题-农业绿色发展书稿"/>
    <w:qFormat/>
    <w:uiPriority w:val="0"/>
    <w:pPr>
      <w:jc w:val="center"/>
    </w:pPr>
    <w:rPr>
      <w:rFonts w:ascii="Times New Roman" w:hAnsi="Times New Roman" w:eastAsia="华文中宋" w:cstheme="minorBidi"/>
      <w:b/>
      <w:bCs/>
      <w:kern w:val="44"/>
      <w:sz w:val="44"/>
      <w:szCs w:val="44"/>
      <w:lang w:val="en-US" w:eastAsia="zh-CN" w:bidi="ar-SA"/>
    </w:rPr>
  </w:style>
  <w:style w:type="paragraph" w:customStyle="1" w:styleId="34">
    <w:name w:val="标题-公文"/>
    <w:qFormat/>
    <w:uiPriority w:val="0"/>
    <w:pPr>
      <w:jc w:val="center"/>
      <w:outlineLvl w:val="0"/>
    </w:pPr>
    <w:rPr>
      <w:rFonts w:ascii="Times New Roman" w:hAnsi="Times New Roman" w:eastAsia="华文中宋" w:cstheme="minorBidi"/>
      <w:kern w:val="2"/>
      <w:sz w:val="36"/>
      <w:szCs w:val="21"/>
      <w:lang w:val="en-US" w:eastAsia="zh-CN" w:bidi="ar-SA"/>
    </w:rPr>
  </w:style>
  <w:style w:type="paragraph" w:customStyle="1" w:styleId="35">
    <w:name w:val="正文-公文"/>
    <w:qFormat/>
    <w:uiPriority w:val="0"/>
    <w:pPr>
      <w:ind w:firstLine="640" w:firstLineChars="200"/>
      <w:jc w:val="both"/>
    </w:pPr>
    <w:rPr>
      <w:rFonts w:ascii="Times New Roman" w:hAnsi="Times New Roman" w:eastAsia="仿宋_GB2312" w:cstheme="minorBidi"/>
      <w:kern w:val="2"/>
      <w:sz w:val="32"/>
      <w:szCs w:val="21"/>
      <w:lang w:val="en-US" w:eastAsia="zh-CN" w:bidi="ar-SA"/>
    </w:rPr>
  </w:style>
  <w:style w:type="paragraph" w:customStyle="1" w:styleId="36">
    <w:name w:val="一级标题-公文"/>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37">
    <w:name w:val="二级标题-公文"/>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38">
    <w:name w:val="三级标题-公文"/>
    <w:basedOn w:val="37"/>
    <w:qFormat/>
    <w:uiPriority w:val="2"/>
    <w:pPr>
      <w:outlineLvl w:val="2"/>
    </w:pPr>
    <w:rPr>
      <w:rFonts w:eastAsia="仿宋_GB2312"/>
    </w:rPr>
  </w:style>
  <w:style w:type="paragraph" w:customStyle="1" w:styleId="39">
    <w:name w:val="章标题-乡村振兴"/>
    <w:qFormat/>
    <w:uiPriority w:val="0"/>
    <w:pPr>
      <w:jc w:val="center"/>
      <w:outlineLvl w:val="0"/>
    </w:pPr>
    <w:rPr>
      <w:rFonts w:ascii="Times New Roman" w:hAnsi="Times New Roman" w:eastAsia="华文中宋" w:cstheme="minorBidi"/>
      <w:b/>
      <w:bCs/>
      <w:kern w:val="44"/>
      <w:sz w:val="44"/>
      <w:szCs w:val="44"/>
      <w:lang w:val="en-US" w:eastAsia="zh-CN" w:bidi="ar-SA"/>
    </w:rPr>
  </w:style>
  <w:style w:type="paragraph" w:customStyle="1" w:styleId="40">
    <w:name w:val="图标题-农业绿色发展书稿"/>
    <w:next w:val="29"/>
    <w:qFormat/>
    <w:uiPriority w:val="0"/>
    <w:pPr>
      <w:jc w:val="center"/>
      <w:outlineLvl w:val="4"/>
    </w:pPr>
    <w:rPr>
      <w:rFonts w:ascii="Times New Roman" w:hAnsi="Times New Roman" w:eastAsia="黑体" w:cs="Times New Roman"/>
      <w:kern w:val="2"/>
      <w:sz w:val="24"/>
      <w:szCs w:val="28"/>
      <w:lang w:val="en-US" w:eastAsia="zh-CN" w:bidi="ar-SA"/>
    </w:rPr>
  </w:style>
  <w:style w:type="paragraph" w:customStyle="1" w:styleId="41">
    <w:name w:val="表标题-农业绿色发展书稿"/>
    <w:basedOn w:val="9"/>
    <w:next w:val="29"/>
    <w:qFormat/>
    <w:uiPriority w:val="0"/>
  </w:style>
  <w:style w:type="paragraph" w:customStyle="1" w:styleId="42">
    <w:name w:val="日期-公文"/>
    <w:next w:val="35"/>
    <w:qFormat/>
    <w:uiPriority w:val="0"/>
    <w:pPr>
      <w:jc w:val="center"/>
    </w:pPr>
    <w:rPr>
      <w:rFonts w:ascii="Times New Roman" w:hAnsi="Times New Roman" w:eastAsia="楷体_GB2312" w:cstheme="minorBidi"/>
      <w:kern w:val="2"/>
      <w:sz w:val="32"/>
      <w:szCs w:val="21"/>
      <w:lang w:val="en-US" w:eastAsia="zh-CN" w:bidi="ar-SA"/>
    </w:rPr>
  </w:style>
  <w:style w:type="paragraph" w:customStyle="1" w:styleId="43">
    <w:name w:val="图标题-公文"/>
    <w:next w:val="35"/>
    <w:qFormat/>
    <w:uiPriority w:val="0"/>
    <w:pPr>
      <w:spacing w:line="360" w:lineRule="exact"/>
      <w:jc w:val="center"/>
      <w:outlineLvl w:val="4"/>
    </w:pPr>
    <w:rPr>
      <w:rFonts w:ascii="Times New Roman" w:hAnsi="Times New Roman" w:eastAsia="宋体" w:cstheme="minorBidi"/>
      <w:b/>
      <w:kern w:val="2"/>
      <w:sz w:val="24"/>
      <w:szCs w:val="21"/>
      <w:lang w:val="en-US" w:eastAsia="zh-CN" w:bidi="ar-SA"/>
    </w:rPr>
  </w:style>
  <w:style w:type="paragraph" w:customStyle="1" w:styleId="44">
    <w:name w:val="图标题（英文）-公文"/>
    <w:basedOn w:val="43"/>
    <w:next w:val="35"/>
    <w:qFormat/>
    <w:uiPriority w:val="0"/>
  </w:style>
  <w:style w:type="paragraph" w:customStyle="1" w:styleId="45">
    <w:name w:val="资料来源-公文"/>
    <w:basedOn w:val="43"/>
    <w:next w:val="35"/>
    <w:qFormat/>
    <w:uiPriority w:val="0"/>
    <w:pPr>
      <w:outlineLvl w:val="9"/>
    </w:pPr>
    <w:rPr>
      <w:b w:val="0"/>
      <w:sz w:val="18"/>
    </w:rPr>
  </w:style>
  <w:style w:type="character" w:customStyle="1" w:styleId="46">
    <w:name w:val="页眉 字符"/>
    <w:basedOn w:val="6"/>
    <w:link w:val="3"/>
    <w:qFormat/>
    <w:uiPriority w:val="99"/>
    <w:rPr>
      <w:sz w:val="18"/>
      <w:szCs w:val="18"/>
    </w:rPr>
  </w:style>
  <w:style w:type="character" w:customStyle="1" w:styleId="47">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924</Words>
  <Characters>967</Characters>
  <Lines>6</Lines>
  <Paragraphs>1</Paragraphs>
  <TotalTime>13</TotalTime>
  <ScaleCrop>false</ScaleCrop>
  <LinksUpToDate>false</LinksUpToDate>
  <CharactersWithSpaces>968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2020-03-28T09:09:00Z</dcterms:created>
  <dc:creator>韩洁</dc:creator>
  <cp:lastModifiedBy>哆啦A</cp:lastModifiedBy>
  <cp:lastPrinted>2025-08-22T13:14:00Z</cp:lastPrinted>
  <dcterms:modified xsi:type="dcterms:W3CDTF">2026-03-13T02:29:47Z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7181C3F46ABF4FDE95B3024032B21A84_13</vt:lpwstr>
  </property>
</Properties>
</file>